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200D1" w:rsidRPr="00895DF4" w:rsidTr="000B61BC">
        <w:tc>
          <w:tcPr>
            <w:tcW w:w="9576" w:type="dxa"/>
          </w:tcPr>
          <w:p w:rsidR="00B200D1" w:rsidRPr="00895DF4" w:rsidRDefault="00B200D1" w:rsidP="00895DF4">
            <w:pPr>
              <w:jc w:val="both"/>
              <w:rPr>
                <w:rFonts w:ascii="Book Antiqua" w:hAnsi="Book Antiqua"/>
                <w:b/>
                <w:bCs/>
                <w:sz w:val="24"/>
                <w:szCs w:val="24"/>
              </w:rPr>
            </w:pPr>
            <w:r w:rsidRPr="00895DF4">
              <w:rPr>
                <w:rFonts w:ascii="Book Antiqua" w:hAnsi="Book Antiqua"/>
                <w:b/>
                <w:bCs/>
                <w:noProof/>
                <w:sz w:val="24"/>
                <w:szCs w:val="24"/>
              </w:rPr>
              <w:drawing>
                <wp:anchor distT="0" distB="0" distL="114300" distR="114300" simplePos="0" relativeHeight="251659264" behindDoc="1" locked="0" layoutInCell="1" allowOverlap="1">
                  <wp:simplePos x="0" y="0"/>
                  <wp:positionH relativeFrom="column">
                    <wp:posOffset>695325</wp:posOffset>
                  </wp:positionH>
                  <wp:positionV relativeFrom="paragraph">
                    <wp:posOffset>635</wp:posOffset>
                  </wp:positionV>
                  <wp:extent cx="4762500" cy="1200150"/>
                  <wp:effectExtent l="19050" t="0" r="0" b="0"/>
                  <wp:wrapTight wrapText="bothSides">
                    <wp:wrapPolygon edited="0">
                      <wp:start x="1469" y="0"/>
                      <wp:lineTo x="-86" y="343"/>
                      <wp:lineTo x="-86" y="4800"/>
                      <wp:lineTo x="1469" y="5486"/>
                      <wp:lineTo x="-86" y="13029"/>
                      <wp:lineTo x="-86" y="17143"/>
                      <wp:lineTo x="4493" y="21257"/>
                      <wp:lineTo x="5098" y="21257"/>
                      <wp:lineTo x="17366" y="21257"/>
                      <wp:lineTo x="17885" y="21257"/>
                      <wp:lineTo x="21600" y="17143"/>
                      <wp:lineTo x="21600" y="7543"/>
                      <wp:lineTo x="19267" y="6857"/>
                      <wp:lineTo x="4320" y="5486"/>
                      <wp:lineTo x="4234" y="0"/>
                      <wp:lineTo x="1469" y="0"/>
                    </wp:wrapPolygon>
                  </wp:wrapTight>
                  <wp:docPr id="2" name="Picture 2" descr="New logo KIOCL LTD copy.gif"/>
                  <wp:cNvGraphicFramePr/>
                  <a:graphic xmlns:a="http://schemas.openxmlformats.org/drawingml/2006/main">
                    <a:graphicData uri="http://schemas.openxmlformats.org/drawingml/2006/picture">
                      <pic:pic xmlns:pic="http://schemas.openxmlformats.org/drawingml/2006/picture">
                        <pic:nvPicPr>
                          <pic:cNvPr id="9" name="Picture 8" descr="New logo KIOCL LTD copy.gif"/>
                          <pic:cNvPicPr>
                            <a:picLocks noChangeAspect="1"/>
                          </pic:cNvPicPr>
                        </pic:nvPicPr>
                        <pic:blipFill>
                          <a:blip r:embed="rId8" cstate="print"/>
                          <a:stretch>
                            <a:fillRect/>
                          </a:stretch>
                        </pic:blipFill>
                        <pic:spPr>
                          <a:xfrm>
                            <a:off x="0" y="0"/>
                            <a:ext cx="4762500" cy="1200150"/>
                          </a:xfrm>
                          <a:prstGeom prst="rect">
                            <a:avLst/>
                          </a:prstGeom>
                        </pic:spPr>
                      </pic:pic>
                    </a:graphicData>
                  </a:graphic>
                </wp:anchor>
              </w:drawing>
            </w:r>
          </w:p>
        </w:tc>
      </w:tr>
      <w:tr w:rsidR="00B200D1" w:rsidRPr="00895DF4" w:rsidTr="000B61BC">
        <w:tc>
          <w:tcPr>
            <w:tcW w:w="9576" w:type="dxa"/>
          </w:tcPr>
          <w:p w:rsidR="00B200D1" w:rsidRPr="00F909F0" w:rsidRDefault="00B200D1" w:rsidP="00895DF4">
            <w:pPr>
              <w:jc w:val="both"/>
              <w:rPr>
                <w:rFonts w:ascii="Book Antiqua" w:hAnsi="Book Antiqua"/>
                <w:b/>
                <w:bCs/>
                <w:sz w:val="2"/>
                <w:szCs w:val="2"/>
              </w:rPr>
            </w:pPr>
          </w:p>
        </w:tc>
      </w:tr>
    </w:tbl>
    <w:p w:rsidR="00B200D1" w:rsidRPr="00895DF4" w:rsidRDefault="00B200D1" w:rsidP="00F909F0">
      <w:pPr>
        <w:spacing w:after="0" w:line="240" w:lineRule="auto"/>
        <w:jc w:val="center"/>
        <w:rPr>
          <w:rFonts w:ascii="Book Antiqua" w:hAnsi="Book Antiqua"/>
          <w:b/>
          <w:bCs/>
          <w:sz w:val="24"/>
          <w:szCs w:val="24"/>
        </w:rPr>
      </w:pPr>
      <w:r w:rsidRPr="00895DF4">
        <w:rPr>
          <w:rFonts w:ascii="Book Antiqua" w:hAnsi="Book Antiqua"/>
          <w:b/>
          <w:bCs/>
          <w:sz w:val="24"/>
          <w:szCs w:val="24"/>
        </w:rPr>
        <w:t>CIN: 13100KA1976GOI002974</w:t>
      </w:r>
    </w:p>
    <w:tbl>
      <w:tblPr>
        <w:tblStyle w:val="TableGrid"/>
        <w:tblW w:w="0" w:type="auto"/>
        <w:tblLook w:val="04A0"/>
      </w:tblPr>
      <w:tblGrid>
        <w:gridCol w:w="9576"/>
      </w:tblGrid>
      <w:tr w:rsidR="00B200D1" w:rsidRPr="00895DF4" w:rsidTr="000B61BC">
        <w:tc>
          <w:tcPr>
            <w:tcW w:w="9576" w:type="dxa"/>
          </w:tcPr>
          <w:p w:rsidR="00B200D1" w:rsidRPr="00895DF4" w:rsidRDefault="00B200D1" w:rsidP="00895DF4">
            <w:pPr>
              <w:pStyle w:val="Title"/>
              <w:ind w:left="252" w:firstLine="18"/>
              <w:jc w:val="both"/>
              <w:rPr>
                <w:rFonts w:ascii="Book Antiqua" w:hAnsi="Book Antiqua"/>
                <w:sz w:val="24"/>
                <w:u w:val="single"/>
              </w:rPr>
            </w:pPr>
            <w:r w:rsidRPr="00895DF4">
              <w:rPr>
                <w:rFonts w:ascii="Book Antiqua" w:hAnsi="Book Antiqua"/>
                <w:sz w:val="24"/>
                <w:u w:val="single"/>
              </w:rPr>
              <w:t xml:space="preserve">Registered Office </w:t>
            </w:r>
          </w:p>
          <w:p w:rsidR="00B200D1" w:rsidRPr="00895DF4" w:rsidRDefault="00B200D1" w:rsidP="00895DF4">
            <w:pPr>
              <w:pStyle w:val="Title"/>
              <w:ind w:left="252" w:firstLine="18"/>
              <w:jc w:val="both"/>
              <w:rPr>
                <w:rFonts w:ascii="Book Antiqua" w:hAnsi="Book Antiqua"/>
                <w:b w:val="0"/>
                <w:sz w:val="24"/>
              </w:rPr>
            </w:pPr>
            <w:r w:rsidRPr="00895DF4">
              <w:rPr>
                <w:rFonts w:ascii="Book Antiqua" w:hAnsi="Book Antiqua"/>
                <w:b w:val="0"/>
                <w:sz w:val="24"/>
              </w:rPr>
              <w:t>II Block, Koramangala, Bangalore – 560 034</w:t>
            </w:r>
          </w:p>
          <w:p w:rsidR="00B200D1" w:rsidRPr="00895DF4" w:rsidRDefault="00B200D1" w:rsidP="00895DF4">
            <w:pPr>
              <w:pStyle w:val="Title"/>
              <w:ind w:left="252" w:firstLine="18"/>
              <w:jc w:val="both"/>
              <w:rPr>
                <w:rFonts w:ascii="Book Antiqua" w:hAnsi="Book Antiqua"/>
                <w:b w:val="0"/>
                <w:sz w:val="24"/>
              </w:rPr>
            </w:pPr>
            <w:r w:rsidRPr="00895DF4">
              <w:rPr>
                <w:rFonts w:ascii="Book Antiqua" w:hAnsi="Book Antiqua"/>
                <w:b w:val="0"/>
                <w:sz w:val="24"/>
              </w:rPr>
              <w:t>Ph. No - 080-25531461–70, 25535937 - 40</w:t>
            </w:r>
          </w:p>
          <w:p w:rsidR="00B200D1" w:rsidRPr="00895DF4" w:rsidRDefault="00B200D1" w:rsidP="00895DF4">
            <w:pPr>
              <w:ind w:left="252" w:firstLine="18"/>
              <w:jc w:val="both"/>
              <w:rPr>
                <w:rFonts w:ascii="Book Antiqua" w:hAnsi="Book Antiqua" w:cs="Arial"/>
                <w:sz w:val="24"/>
                <w:szCs w:val="24"/>
              </w:rPr>
            </w:pPr>
            <w:r w:rsidRPr="00895DF4">
              <w:rPr>
                <w:rFonts w:ascii="Book Antiqua" w:hAnsi="Book Antiqua" w:cs="Arial"/>
                <w:sz w:val="24"/>
                <w:szCs w:val="24"/>
              </w:rPr>
              <w:t>Fax No - 080-25532153, 25535941, 25630984</w:t>
            </w:r>
          </w:p>
          <w:p w:rsidR="00B200D1" w:rsidRPr="00714D92" w:rsidRDefault="00B200D1" w:rsidP="00895DF4">
            <w:pPr>
              <w:ind w:left="-18" w:firstLine="18"/>
              <w:jc w:val="both"/>
              <w:rPr>
                <w:rStyle w:val="Hyperlink"/>
              </w:rPr>
            </w:pPr>
            <w:r w:rsidRPr="00895DF4">
              <w:rPr>
                <w:rFonts w:ascii="Book Antiqua" w:hAnsi="Book Antiqua" w:cs="Arial"/>
                <w:sz w:val="24"/>
                <w:szCs w:val="24"/>
              </w:rPr>
              <w:t xml:space="preserve">     E-mail:  </w:t>
            </w:r>
            <w:r w:rsidR="00A74270">
              <w:rPr>
                <w:rStyle w:val="Hyperlink"/>
                <w:rFonts w:ascii="Book Antiqua" w:hAnsi="Book Antiqua" w:cs="Arial"/>
                <w:sz w:val="24"/>
                <w:szCs w:val="24"/>
              </w:rPr>
              <w:t>cs@kioclltd.com</w:t>
            </w:r>
          </w:p>
          <w:p w:rsidR="00B200D1" w:rsidRPr="00895DF4" w:rsidRDefault="00B200D1" w:rsidP="00895DF4">
            <w:pPr>
              <w:ind w:left="252" w:firstLine="18"/>
              <w:jc w:val="both"/>
              <w:rPr>
                <w:rFonts w:ascii="Book Antiqua" w:hAnsi="Book Antiqua" w:cs="Arial"/>
                <w:sz w:val="24"/>
                <w:szCs w:val="24"/>
              </w:rPr>
            </w:pPr>
            <w:r w:rsidRPr="00895DF4">
              <w:rPr>
                <w:rFonts w:ascii="Book Antiqua" w:hAnsi="Book Antiqua"/>
                <w:sz w:val="24"/>
                <w:szCs w:val="24"/>
              </w:rPr>
              <w:t xml:space="preserve">Website </w:t>
            </w:r>
            <w:hyperlink w:history="1">
              <w:r w:rsidR="001052EA" w:rsidRPr="00E64B01">
                <w:rPr>
                  <w:rStyle w:val="Hyperlink"/>
                  <w:rFonts w:ascii="Book Antiqua" w:hAnsi="Book Antiqua"/>
                  <w:sz w:val="24"/>
                  <w:szCs w:val="24"/>
                </w:rPr>
                <w:t xml:space="preserve">http://www.kioclltd.in </w:t>
              </w:r>
            </w:hyperlink>
          </w:p>
          <w:p w:rsidR="00B200D1" w:rsidRPr="00895DF4" w:rsidRDefault="00B200D1" w:rsidP="00895DF4">
            <w:pPr>
              <w:jc w:val="both"/>
              <w:rPr>
                <w:rFonts w:ascii="Book Antiqua" w:hAnsi="Book Antiqua"/>
                <w:sz w:val="24"/>
                <w:szCs w:val="24"/>
              </w:rPr>
            </w:pPr>
          </w:p>
        </w:tc>
      </w:tr>
    </w:tbl>
    <w:p w:rsidR="00B200D1" w:rsidRPr="00895DF4" w:rsidRDefault="00B200D1" w:rsidP="00895DF4">
      <w:pPr>
        <w:spacing w:after="0" w:line="240" w:lineRule="auto"/>
        <w:jc w:val="both"/>
        <w:rPr>
          <w:rFonts w:ascii="Book Antiqua" w:hAnsi="Book Antiqua"/>
          <w:sz w:val="24"/>
          <w:szCs w:val="24"/>
        </w:rPr>
      </w:pPr>
    </w:p>
    <w:p w:rsidR="00F909F0" w:rsidRDefault="00F909F0" w:rsidP="000E0D5E">
      <w:pPr>
        <w:spacing w:line="240" w:lineRule="auto"/>
        <w:rPr>
          <w:rFonts w:ascii="Book Antiqua" w:hAnsi="Book Antiqua"/>
          <w:b/>
          <w:bCs/>
          <w:sz w:val="24"/>
          <w:szCs w:val="24"/>
        </w:rPr>
      </w:pPr>
    </w:p>
    <w:p w:rsidR="00EB1D84" w:rsidRPr="0047735D" w:rsidRDefault="001052EA" w:rsidP="00EB1D84">
      <w:pPr>
        <w:spacing w:line="240" w:lineRule="auto"/>
        <w:jc w:val="center"/>
        <w:rPr>
          <w:rFonts w:ascii="Book Antiqua" w:hAnsi="Book Antiqua"/>
          <w:b/>
          <w:bCs/>
          <w:sz w:val="24"/>
          <w:szCs w:val="24"/>
          <w:u w:val="single"/>
        </w:rPr>
      </w:pPr>
      <w:r w:rsidRPr="0047735D">
        <w:rPr>
          <w:rFonts w:ascii="Book Antiqua" w:hAnsi="Book Antiqua"/>
          <w:b/>
          <w:bCs/>
          <w:sz w:val="24"/>
          <w:szCs w:val="24"/>
          <w:u w:val="single"/>
        </w:rPr>
        <w:t>POLICY FOR PRESERVATION OF DOCUMENTS</w:t>
      </w:r>
      <w:r w:rsidR="000E0D5E" w:rsidRPr="0047735D">
        <w:rPr>
          <w:rFonts w:ascii="Book Antiqua" w:hAnsi="Book Antiqua"/>
          <w:b/>
          <w:bCs/>
          <w:sz w:val="24"/>
          <w:szCs w:val="24"/>
          <w:u w:val="single"/>
        </w:rPr>
        <w:t xml:space="preserve"> OF KIOCL LIMITED</w:t>
      </w:r>
    </w:p>
    <w:p w:rsidR="00EB1D84" w:rsidRPr="0047735D" w:rsidRDefault="00EB1D84" w:rsidP="00EB1D84">
      <w:pPr>
        <w:spacing w:line="240" w:lineRule="auto"/>
        <w:jc w:val="both"/>
        <w:rPr>
          <w:rFonts w:ascii="Book Antiqua" w:hAnsi="Book Antiqua"/>
          <w:sz w:val="24"/>
          <w:szCs w:val="24"/>
        </w:rPr>
      </w:pP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b/>
          <w:bCs/>
          <w:sz w:val="24"/>
          <w:szCs w:val="24"/>
        </w:rPr>
        <w:t>1. INTRODUCTION</w:t>
      </w:r>
      <w:r w:rsidRPr="0047735D">
        <w:rPr>
          <w:rFonts w:ascii="Book Antiqua" w:hAnsi="Book Antiqua"/>
          <w:sz w:val="24"/>
          <w:szCs w:val="24"/>
        </w:rPr>
        <w:t xml:space="preserve">: </w:t>
      </w:r>
    </w:p>
    <w:p w:rsidR="000E0D5E" w:rsidRPr="0047735D" w:rsidRDefault="000E0D5E" w:rsidP="000E0D5E">
      <w:pPr>
        <w:autoSpaceDE w:val="0"/>
        <w:autoSpaceDN w:val="0"/>
        <w:adjustRightInd w:val="0"/>
        <w:spacing w:after="0" w:line="240" w:lineRule="auto"/>
        <w:jc w:val="both"/>
        <w:rPr>
          <w:rFonts w:ascii="Book Antiqua" w:hAnsi="Book Antiqua"/>
          <w:sz w:val="24"/>
          <w:szCs w:val="24"/>
        </w:rPr>
      </w:pPr>
      <w:r w:rsidRPr="0047735D">
        <w:rPr>
          <w:rFonts w:ascii="Book Antiqua" w:hAnsi="Book Antiqua"/>
          <w:sz w:val="24"/>
          <w:szCs w:val="24"/>
        </w:rPr>
        <w:t>Regulation 9 of the SEBI (Listing Obligations and Disclosure Requirements) Regulations, 2015</w:t>
      </w:r>
      <w:r w:rsidR="0059744D" w:rsidRPr="0047735D">
        <w:rPr>
          <w:rFonts w:ascii="Book Antiqua" w:hAnsi="Book Antiqua"/>
          <w:sz w:val="24"/>
          <w:szCs w:val="24"/>
        </w:rPr>
        <w:t xml:space="preserve"> states</w:t>
      </w:r>
      <w:r w:rsidRPr="0047735D">
        <w:rPr>
          <w:rFonts w:ascii="Book Antiqua" w:hAnsi="Book Antiqua"/>
          <w:sz w:val="24"/>
          <w:szCs w:val="24"/>
        </w:rPr>
        <w:t xml:space="preserve"> that, the listed entity shall have a policy for preservation of documents, approved by its board of directors, classifying them in at least two categories as follows-</w:t>
      </w:r>
    </w:p>
    <w:p w:rsidR="000E0D5E" w:rsidRPr="0047735D" w:rsidRDefault="000E0D5E" w:rsidP="000E0D5E">
      <w:pPr>
        <w:autoSpaceDE w:val="0"/>
        <w:autoSpaceDN w:val="0"/>
        <w:adjustRightInd w:val="0"/>
        <w:spacing w:after="0" w:line="240" w:lineRule="auto"/>
        <w:jc w:val="both"/>
        <w:rPr>
          <w:rFonts w:ascii="Book Antiqua" w:hAnsi="Book Antiqua"/>
          <w:sz w:val="24"/>
          <w:szCs w:val="24"/>
        </w:rPr>
      </w:pPr>
    </w:p>
    <w:p w:rsidR="0047735D" w:rsidRDefault="000E0D5E" w:rsidP="0047735D">
      <w:pPr>
        <w:pStyle w:val="ListParagraph"/>
        <w:numPr>
          <w:ilvl w:val="0"/>
          <w:numId w:val="25"/>
        </w:numPr>
        <w:autoSpaceDE w:val="0"/>
        <w:autoSpaceDN w:val="0"/>
        <w:adjustRightInd w:val="0"/>
        <w:spacing w:after="0" w:line="240" w:lineRule="auto"/>
        <w:jc w:val="both"/>
        <w:rPr>
          <w:rFonts w:ascii="Book Antiqua" w:hAnsi="Book Antiqua"/>
          <w:sz w:val="24"/>
          <w:szCs w:val="24"/>
        </w:rPr>
      </w:pPr>
      <w:r w:rsidRPr="0047735D">
        <w:rPr>
          <w:rFonts w:ascii="Book Antiqua" w:hAnsi="Book Antiqua"/>
          <w:sz w:val="24"/>
          <w:szCs w:val="24"/>
        </w:rPr>
        <w:t>documents whose preservation shall be permanent in nature;</w:t>
      </w:r>
    </w:p>
    <w:p w:rsidR="000E0D5E" w:rsidRPr="0047735D" w:rsidRDefault="000E0D5E" w:rsidP="0047735D">
      <w:pPr>
        <w:pStyle w:val="ListParagraph"/>
        <w:numPr>
          <w:ilvl w:val="0"/>
          <w:numId w:val="25"/>
        </w:numPr>
        <w:autoSpaceDE w:val="0"/>
        <w:autoSpaceDN w:val="0"/>
        <w:adjustRightInd w:val="0"/>
        <w:spacing w:after="0" w:line="240" w:lineRule="auto"/>
        <w:jc w:val="both"/>
        <w:rPr>
          <w:rFonts w:ascii="Book Antiqua" w:hAnsi="Book Antiqua"/>
          <w:sz w:val="24"/>
          <w:szCs w:val="24"/>
        </w:rPr>
      </w:pPr>
      <w:r w:rsidRPr="0047735D">
        <w:rPr>
          <w:rFonts w:ascii="Book Antiqua" w:hAnsi="Book Antiqua"/>
          <w:sz w:val="24"/>
          <w:szCs w:val="24"/>
        </w:rPr>
        <w:t>documents with preservation period of not less than eight years after completion of the relevant transactions;</w:t>
      </w:r>
    </w:p>
    <w:p w:rsidR="000E0D5E" w:rsidRPr="0047735D" w:rsidRDefault="000E0D5E" w:rsidP="000E0D5E">
      <w:pPr>
        <w:autoSpaceDE w:val="0"/>
        <w:autoSpaceDN w:val="0"/>
        <w:adjustRightInd w:val="0"/>
        <w:spacing w:after="0" w:line="240" w:lineRule="auto"/>
        <w:jc w:val="both"/>
        <w:rPr>
          <w:rFonts w:ascii="Book Antiqua" w:hAnsi="Book Antiqua"/>
          <w:sz w:val="24"/>
          <w:szCs w:val="24"/>
        </w:rPr>
      </w:pPr>
    </w:p>
    <w:p w:rsidR="000E0D5E" w:rsidRPr="0047735D" w:rsidRDefault="000E0D5E" w:rsidP="000E0D5E">
      <w:pPr>
        <w:autoSpaceDE w:val="0"/>
        <w:autoSpaceDN w:val="0"/>
        <w:adjustRightInd w:val="0"/>
        <w:spacing w:after="0" w:line="240" w:lineRule="auto"/>
        <w:jc w:val="both"/>
        <w:rPr>
          <w:rFonts w:ascii="Book Antiqua" w:hAnsi="Book Antiqua"/>
          <w:sz w:val="24"/>
          <w:szCs w:val="24"/>
        </w:rPr>
      </w:pPr>
      <w:r w:rsidRPr="0047735D">
        <w:rPr>
          <w:rFonts w:ascii="Book Antiqua" w:hAnsi="Book Antiqua"/>
          <w:sz w:val="24"/>
          <w:szCs w:val="24"/>
        </w:rPr>
        <w:t>Provided that the listed entity may keep documents specified in clauses (a) and (b) in electronic mode.</w:t>
      </w:r>
    </w:p>
    <w:p w:rsidR="000E0D5E" w:rsidRPr="0047735D" w:rsidRDefault="000E0D5E" w:rsidP="000E0D5E">
      <w:pPr>
        <w:autoSpaceDE w:val="0"/>
        <w:autoSpaceDN w:val="0"/>
        <w:adjustRightInd w:val="0"/>
        <w:spacing w:after="0" w:line="240" w:lineRule="auto"/>
        <w:jc w:val="both"/>
        <w:rPr>
          <w:rFonts w:ascii="Book Antiqua" w:hAnsi="Book Antiqua"/>
          <w:sz w:val="24"/>
          <w:szCs w:val="24"/>
        </w:rPr>
      </w:pP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 xml:space="preserve">This Policy deals with preservation of documents of </w:t>
      </w:r>
      <w:r w:rsidR="000E0D5E" w:rsidRPr="0047735D">
        <w:rPr>
          <w:rFonts w:ascii="Book Antiqua" w:hAnsi="Book Antiqua"/>
          <w:sz w:val="24"/>
          <w:szCs w:val="24"/>
        </w:rPr>
        <w:t xml:space="preserve">KIOCL Limited </w:t>
      </w:r>
      <w:r w:rsidRPr="0047735D">
        <w:rPr>
          <w:rFonts w:ascii="Book Antiqua" w:hAnsi="Book Antiqua"/>
          <w:sz w:val="24"/>
          <w:szCs w:val="24"/>
        </w:rPr>
        <w:t xml:space="preserve">in terms of Regulation 9 of the SEBI (Listing Obligations and Disclosure Requirements) Regulations, 2015. </w:t>
      </w:r>
    </w:p>
    <w:p w:rsidR="000E0D5E" w:rsidRPr="0047735D" w:rsidRDefault="000E0D5E" w:rsidP="00EB1D84">
      <w:pPr>
        <w:spacing w:line="240" w:lineRule="auto"/>
        <w:jc w:val="both"/>
        <w:rPr>
          <w:rFonts w:ascii="Book Antiqua" w:hAnsi="Book Antiqua"/>
          <w:sz w:val="24"/>
          <w:szCs w:val="24"/>
        </w:rPr>
      </w:pP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b/>
          <w:bCs/>
          <w:sz w:val="24"/>
          <w:szCs w:val="24"/>
        </w:rPr>
        <w:lastRenderedPageBreak/>
        <w:t>2. DEFINITION</w:t>
      </w:r>
      <w:r w:rsidRPr="0047735D">
        <w:rPr>
          <w:rFonts w:ascii="Book Antiqua" w:hAnsi="Book Antiqua"/>
          <w:sz w:val="24"/>
          <w:szCs w:val="24"/>
        </w:rPr>
        <w:t xml:space="preserve">: </w:t>
      </w: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2.1. “</w:t>
      </w:r>
      <w:r w:rsidRPr="0047735D">
        <w:rPr>
          <w:rFonts w:ascii="Book Antiqua" w:hAnsi="Book Antiqua"/>
          <w:b/>
          <w:bCs/>
          <w:sz w:val="24"/>
          <w:szCs w:val="24"/>
        </w:rPr>
        <w:t>Document</w:t>
      </w:r>
      <w:r w:rsidRPr="0047735D">
        <w:rPr>
          <w:rFonts w:ascii="Book Antiqua" w:hAnsi="Book Antiqua"/>
          <w:sz w:val="24"/>
          <w:szCs w:val="24"/>
        </w:rPr>
        <w:t xml:space="preserve">” includes summons, notices, requisitions, orders, declarations, forms and registers, whether issued, sent or kept in pursuance of this Act or under any other law for the time being in force or otherwise, maintained on paper or in electronic form as defined in Section 2 (36) of the Companies Act, 2013. </w:t>
      </w: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2.2. “</w:t>
      </w:r>
      <w:r w:rsidRPr="0047735D">
        <w:rPr>
          <w:rFonts w:ascii="Book Antiqua" w:hAnsi="Book Antiqua"/>
          <w:b/>
          <w:bCs/>
          <w:sz w:val="24"/>
          <w:szCs w:val="24"/>
        </w:rPr>
        <w:t>Board of Directors</w:t>
      </w:r>
      <w:r w:rsidRPr="0047735D">
        <w:rPr>
          <w:rFonts w:ascii="Book Antiqua" w:hAnsi="Book Antiqua"/>
          <w:sz w:val="24"/>
          <w:szCs w:val="24"/>
        </w:rPr>
        <w:t>” or “</w:t>
      </w:r>
      <w:r w:rsidRPr="0047735D">
        <w:rPr>
          <w:rFonts w:ascii="Book Antiqua" w:hAnsi="Book Antiqua"/>
          <w:b/>
          <w:bCs/>
          <w:sz w:val="24"/>
          <w:szCs w:val="24"/>
        </w:rPr>
        <w:t>Board</w:t>
      </w:r>
      <w:r w:rsidRPr="0047735D">
        <w:rPr>
          <w:rFonts w:ascii="Book Antiqua" w:hAnsi="Book Antiqua"/>
          <w:sz w:val="24"/>
          <w:szCs w:val="24"/>
        </w:rPr>
        <w:t xml:space="preserve">” means the Board of Directors of </w:t>
      </w:r>
      <w:r w:rsidR="000E0D5E" w:rsidRPr="0047735D">
        <w:rPr>
          <w:rFonts w:ascii="Book Antiqua" w:hAnsi="Book Antiqua"/>
          <w:sz w:val="24"/>
          <w:szCs w:val="24"/>
        </w:rPr>
        <w:t>KIOCL</w:t>
      </w:r>
      <w:r w:rsidRPr="0047735D">
        <w:rPr>
          <w:rFonts w:ascii="Book Antiqua" w:hAnsi="Book Antiqua"/>
          <w:sz w:val="24"/>
          <w:szCs w:val="24"/>
        </w:rPr>
        <w:t xml:space="preserve"> Limited, as constituted from time to time and as defined in Section 2(10) of the Companies Act, 2013. </w:t>
      </w: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2.3. “</w:t>
      </w:r>
      <w:r w:rsidRPr="0047735D">
        <w:rPr>
          <w:rFonts w:ascii="Book Antiqua" w:hAnsi="Book Antiqua"/>
          <w:b/>
          <w:bCs/>
          <w:sz w:val="24"/>
          <w:szCs w:val="24"/>
        </w:rPr>
        <w:t>Company</w:t>
      </w:r>
      <w:r w:rsidRPr="0047735D">
        <w:rPr>
          <w:rFonts w:ascii="Book Antiqua" w:hAnsi="Book Antiqua"/>
          <w:sz w:val="24"/>
          <w:szCs w:val="24"/>
        </w:rPr>
        <w:t xml:space="preserve">” means </w:t>
      </w:r>
      <w:r w:rsidR="000E0D5E" w:rsidRPr="0047735D">
        <w:rPr>
          <w:rFonts w:ascii="Book Antiqua" w:hAnsi="Book Antiqua"/>
          <w:sz w:val="24"/>
          <w:szCs w:val="24"/>
        </w:rPr>
        <w:t xml:space="preserve">KIOCL Limited </w:t>
      </w:r>
      <w:r w:rsidRPr="0047735D">
        <w:rPr>
          <w:rFonts w:ascii="Book Antiqua" w:hAnsi="Book Antiqua"/>
          <w:sz w:val="24"/>
          <w:szCs w:val="24"/>
        </w:rPr>
        <w:t xml:space="preserve">or </w:t>
      </w:r>
      <w:r w:rsidR="000E0D5E" w:rsidRPr="0047735D">
        <w:rPr>
          <w:rFonts w:ascii="Book Antiqua" w:hAnsi="Book Antiqua"/>
          <w:sz w:val="24"/>
          <w:szCs w:val="24"/>
        </w:rPr>
        <w:t>KIOCL</w:t>
      </w:r>
      <w:r w:rsidRPr="0047735D">
        <w:rPr>
          <w:rFonts w:ascii="Book Antiqua" w:hAnsi="Book Antiqua"/>
          <w:sz w:val="24"/>
          <w:szCs w:val="24"/>
        </w:rPr>
        <w:t xml:space="preserve">. </w:t>
      </w: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2.4. “</w:t>
      </w:r>
      <w:r w:rsidRPr="0047735D">
        <w:rPr>
          <w:rFonts w:ascii="Book Antiqua" w:hAnsi="Book Antiqua"/>
          <w:b/>
          <w:bCs/>
          <w:sz w:val="24"/>
          <w:szCs w:val="24"/>
        </w:rPr>
        <w:t>Policy</w:t>
      </w:r>
      <w:r w:rsidRPr="0047735D">
        <w:rPr>
          <w:rFonts w:ascii="Book Antiqua" w:hAnsi="Book Antiqua"/>
          <w:sz w:val="24"/>
          <w:szCs w:val="24"/>
        </w:rPr>
        <w:t xml:space="preserve">” means Policy Preservation of Documents. </w:t>
      </w:r>
    </w:p>
    <w:p w:rsidR="00EB1D84" w:rsidRPr="0047735D" w:rsidRDefault="001052EA" w:rsidP="00EB1D84">
      <w:pPr>
        <w:spacing w:line="240" w:lineRule="auto"/>
        <w:jc w:val="both"/>
        <w:rPr>
          <w:rFonts w:ascii="Book Antiqua" w:hAnsi="Book Antiqua"/>
          <w:sz w:val="24"/>
          <w:szCs w:val="24"/>
        </w:rPr>
      </w:pPr>
      <w:r w:rsidRPr="0047735D">
        <w:rPr>
          <w:rFonts w:ascii="Book Antiqua" w:hAnsi="Book Antiqua"/>
          <w:sz w:val="24"/>
          <w:szCs w:val="24"/>
        </w:rPr>
        <w:t>2.5 “</w:t>
      </w:r>
      <w:r w:rsidRPr="0047735D">
        <w:rPr>
          <w:rFonts w:ascii="Book Antiqua" w:hAnsi="Book Antiqua"/>
          <w:b/>
          <w:bCs/>
          <w:sz w:val="24"/>
          <w:szCs w:val="24"/>
        </w:rPr>
        <w:t>Year</w:t>
      </w:r>
      <w:r w:rsidRPr="0047735D">
        <w:rPr>
          <w:rFonts w:ascii="Book Antiqua" w:hAnsi="Book Antiqua"/>
          <w:sz w:val="24"/>
          <w:szCs w:val="24"/>
        </w:rPr>
        <w:t xml:space="preserve">” means calendar year occurring after the completion of the relevant transactions. </w:t>
      </w:r>
    </w:p>
    <w:p w:rsidR="00EB1D84" w:rsidRPr="0047735D" w:rsidRDefault="001052EA" w:rsidP="00EB1D84">
      <w:pPr>
        <w:spacing w:line="240" w:lineRule="auto"/>
        <w:jc w:val="both"/>
        <w:rPr>
          <w:rFonts w:ascii="Book Antiqua" w:hAnsi="Book Antiqua"/>
          <w:b/>
          <w:bCs/>
          <w:sz w:val="24"/>
          <w:szCs w:val="24"/>
        </w:rPr>
      </w:pPr>
      <w:r w:rsidRPr="0047735D">
        <w:rPr>
          <w:rFonts w:ascii="Book Antiqua" w:hAnsi="Book Antiqua"/>
          <w:b/>
          <w:bCs/>
          <w:sz w:val="24"/>
          <w:szCs w:val="24"/>
        </w:rPr>
        <w:t xml:space="preserve">3. POLICY: </w:t>
      </w:r>
    </w:p>
    <w:p w:rsidR="00EB1D84" w:rsidRPr="0047735D" w:rsidRDefault="001052EA" w:rsidP="00EB1D84">
      <w:pPr>
        <w:spacing w:line="240" w:lineRule="auto"/>
        <w:jc w:val="both"/>
        <w:rPr>
          <w:rFonts w:ascii="Book Antiqua" w:hAnsi="Book Antiqua"/>
          <w:b/>
          <w:bCs/>
          <w:sz w:val="24"/>
          <w:szCs w:val="24"/>
          <w:u w:val="single"/>
        </w:rPr>
      </w:pPr>
      <w:r w:rsidRPr="0047735D">
        <w:rPr>
          <w:rFonts w:ascii="Book Antiqua" w:hAnsi="Book Antiqua"/>
          <w:b/>
          <w:bCs/>
          <w:sz w:val="24"/>
          <w:szCs w:val="24"/>
        </w:rPr>
        <w:t xml:space="preserve">A. </w:t>
      </w:r>
      <w:r w:rsidRPr="0047735D">
        <w:rPr>
          <w:rFonts w:ascii="Book Antiqua" w:hAnsi="Book Antiqua"/>
          <w:b/>
          <w:bCs/>
          <w:sz w:val="24"/>
          <w:szCs w:val="24"/>
          <w:u w:val="single"/>
        </w:rPr>
        <w:t xml:space="preserve">DOCUMENTS WHICH SHALL BE PRESERVED PERMANENTLY </w:t>
      </w:r>
    </w:p>
    <w:p w:rsidR="000E0D5E" w:rsidRPr="0047735D" w:rsidRDefault="001052EA" w:rsidP="000E0D5E">
      <w:pPr>
        <w:pStyle w:val="ListParagraph"/>
        <w:numPr>
          <w:ilvl w:val="0"/>
          <w:numId w:val="27"/>
        </w:numPr>
        <w:spacing w:line="240" w:lineRule="auto"/>
        <w:jc w:val="both"/>
        <w:rPr>
          <w:rFonts w:ascii="Book Antiqua" w:hAnsi="Book Antiqua"/>
          <w:sz w:val="24"/>
          <w:szCs w:val="24"/>
        </w:rPr>
      </w:pPr>
      <w:r w:rsidRPr="0047735D">
        <w:rPr>
          <w:rFonts w:ascii="Book Antiqua" w:hAnsi="Book Antiqua"/>
          <w:sz w:val="24"/>
          <w:szCs w:val="24"/>
        </w:rPr>
        <w:t>Agenda Papers pertaining to Annual General Meeting; Extraordinary General Meeting; Board</w:t>
      </w:r>
      <w:r w:rsidR="000E0D5E" w:rsidRPr="0047735D">
        <w:rPr>
          <w:rFonts w:ascii="Book Antiqua" w:hAnsi="Book Antiqua"/>
          <w:sz w:val="24"/>
          <w:szCs w:val="24"/>
        </w:rPr>
        <w:t xml:space="preserve"> Meeting and Committees thereof;</w:t>
      </w:r>
      <w:r w:rsidRPr="0047735D">
        <w:rPr>
          <w:rFonts w:ascii="Book Antiqua" w:hAnsi="Book Antiqua"/>
          <w:sz w:val="24"/>
          <w:szCs w:val="24"/>
        </w:rPr>
        <w:t xml:space="preserve"> </w:t>
      </w:r>
    </w:p>
    <w:p w:rsidR="000E0D5E" w:rsidRPr="0047735D" w:rsidRDefault="000E0D5E" w:rsidP="000E0D5E">
      <w:pPr>
        <w:pStyle w:val="ListParagraph"/>
        <w:spacing w:line="240" w:lineRule="auto"/>
        <w:ind w:left="795"/>
        <w:jc w:val="both"/>
        <w:rPr>
          <w:rFonts w:ascii="Book Antiqua" w:hAnsi="Book Antiqua"/>
          <w:sz w:val="10"/>
          <w:szCs w:val="10"/>
        </w:rPr>
      </w:pPr>
    </w:p>
    <w:p w:rsidR="000E0D5E" w:rsidRPr="0047735D" w:rsidRDefault="001052EA" w:rsidP="00EB1D84">
      <w:pPr>
        <w:pStyle w:val="ListParagraph"/>
        <w:numPr>
          <w:ilvl w:val="0"/>
          <w:numId w:val="27"/>
        </w:numPr>
        <w:spacing w:line="240" w:lineRule="auto"/>
        <w:jc w:val="both"/>
        <w:rPr>
          <w:rFonts w:ascii="Book Antiqua" w:hAnsi="Book Antiqua"/>
          <w:sz w:val="24"/>
          <w:szCs w:val="24"/>
        </w:rPr>
      </w:pPr>
      <w:r w:rsidRPr="0047735D">
        <w:rPr>
          <w:rFonts w:ascii="Book Antiqua" w:hAnsi="Book Antiqua"/>
          <w:sz w:val="24"/>
          <w:szCs w:val="24"/>
        </w:rPr>
        <w:t>Minutes Book of Annual General Meeting; Extraordinary General Meeting; Board Meeting and Committees thereof</w:t>
      </w:r>
      <w:r w:rsidR="000E0D5E" w:rsidRPr="0047735D">
        <w:rPr>
          <w:rFonts w:ascii="Book Antiqua" w:hAnsi="Book Antiqua"/>
          <w:sz w:val="24"/>
          <w:szCs w:val="24"/>
        </w:rPr>
        <w:t>;</w:t>
      </w:r>
    </w:p>
    <w:p w:rsidR="000E0D5E" w:rsidRPr="0047735D" w:rsidRDefault="000E0D5E" w:rsidP="000E0D5E">
      <w:pPr>
        <w:pStyle w:val="ListParagraph"/>
        <w:rPr>
          <w:rFonts w:ascii="Book Antiqua" w:hAnsi="Book Antiqua"/>
          <w:sz w:val="10"/>
          <w:szCs w:val="10"/>
        </w:rPr>
      </w:pPr>
    </w:p>
    <w:p w:rsidR="000E0D5E" w:rsidRPr="0047735D" w:rsidRDefault="001052EA" w:rsidP="00EB1D84">
      <w:pPr>
        <w:pStyle w:val="ListParagraph"/>
        <w:numPr>
          <w:ilvl w:val="0"/>
          <w:numId w:val="27"/>
        </w:numPr>
        <w:spacing w:line="240" w:lineRule="auto"/>
        <w:jc w:val="both"/>
        <w:rPr>
          <w:rFonts w:ascii="Book Antiqua" w:hAnsi="Book Antiqua"/>
          <w:sz w:val="24"/>
          <w:szCs w:val="24"/>
        </w:rPr>
      </w:pPr>
      <w:r w:rsidRPr="0047735D">
        <w:rPr>
          <w:rFonts w:ascii="Book Antiqua" w:hAnsi="Book Antiqua"/>
          <w:sz w:val="24"/>
          <w:szCs w:val="24"/>
        </w:rPr>
        <w:t>Statutory Register maintained under the Companies Act, 2013</w:t>
      </w:r>
      <w:r w:rsidR="000E0D5E" w:rsidRPr="0047735D">
        <w:rPr>
          <w:rFonts w:ascii="Book Antiqua" w:hAnsi="Book Antiqua"/>
          <w:sz w:val="24"/>
          <w:szCs w:val="24"/>
        </w:rPr>
        <w:t>;</w:t>
      </w:r>
    </w:p>
    <w:p w:rsidR="000E0D5E" w:rsidRPr="0047735D" w:rsidRDefault="000E0D5E" w:rsidP="000E0D5E">
      <w:pPr>
        <w:pStyle w:val="ListParagraph"/>
        <w:rPr>
          <w:rFonts w:ascii="Book Antiqua" w:hAnsi="Book Antiqua"/>
          <w:sz w:val="10"/>
          <w:szCs w:val="10"/>
        </w:rPr>
      </w:pPr>
    </w:p>
    <w:p w:rsidR="000E0D5E" w:rsidRPr="0047735D" w:rsidRDefault="001052EA" w:rsidP="00EB1D84">
      <w:pPr>
        <w:pStyle w:val="ListParagraph"/>
        <w:numPr>
          <w:ilvl w:val="0"/>
          <w:numId w:val="27"/>
        </w:numPr>
        <w:spacing w:line="240" w:lineRule="auto"/>
        <w:jc w:val="both"/>
        <w:rPr>
          <w:rFonts w:ascii="Book Antiqua" w:hAnsi="Book Antiqua"/>
          <w:sz w:val="24"/>
          <w:szCs w:val="24"/>
        </w:rPr>
      </w:pPr>
      <w:r w:rsidRPr="0047735D">
        <w:rPr>
          <w:rFonts w:ascii="Book Antiqua" w:hAnsi="Book Antiqua"/>
          <w:sz w:val="24"/>
          <w:szCs w:val="24"/>
        </w:rPr>
        <w:t>Notices, Orders and Communications receiv</w:t>
      </w:r>
      <w:r w:rsidR="000E0D5E" w:rsidRPr="0047735D">
        <w:rPr>
          <w:rFonts w:ascii="Book Antiqua" w:hAnsi="Book Antiqua"/>
          <w:sz w:val="24"/>
          <w:szCs w:val="24"/>
        </w:rPr>
        <w:t>ed from various Government and o</w:t>
      </w:r>
      <w:r w:rsidRPr="0047735D">
        <w:rPr>
          <w:rFonts w:ascii="Book Antiqua" w:hAnsi="Book Antiqua"/>
          <w:sz w:val="24"/>
          <w:szCs w:val="24"/>
        </w:rPr>
        <w:t>ther Authorities</w:t>
      </w:r>
      <w:r w:rsidR="000E0D5E" w:rsidRPr="0047735D">
        <w:rPr>
          <w:rFonts w:ascii="Book Antiqua" w:hAnsi="Book Antiqua"/>
          <w:sz w:val="24"/>
          <w:szCs w:val="24"/>
        </w:rPr>
        <w:t>;</w:t>
      </w:r>
    </w:p>
    <w:p w:rsidR="000E0D5E" w:rsidRPr="0047735D" w:rsidRDefault="000E0D5E" w:rsidP="000E0D5E">
      <w:pPr>
        <w:pStyle w:val="ListParagraph"/>
        <w:rPr>
          <w:rFonts w:ascii="Book Antiqua" w:hAnsi="Book Antiqua"/>
          <w:sz w:val="10"/>
          <w:szCs w:val="10"/>
        </w:rPr>
      </w:pPr>
    </w:p>
    <w:p w:rsidR="00EB1D84" w:rsidRPr="0047735D" w:rsidRDefault="001052EA" w:rsidP="00EB1D84">
      <w:pPr>
        <w:pStyle w:val="ListParagraph"/>
        <w:numPr>
          <w:ilvl w:val="0"/>
          <w:numId w:val="27"/>
        </w:numPr>
        <w:spacing w:line="240" w:lineRule="auto"/>
        <w:jc w:val="both"/>
        <w:rPr>
          <w:rFonts w:ascii="Book Antiqua" w:hAnsi="Book Antiqua"/>
          <w:sz w:val="24"/>
          <w:szCs w:val="24"/>
        </w:rPr>
      </w:pPr>
      <w:r w:rsidRPr="0047735D">
        <w:rPr>
          <w:rFonts w:ascii="Book Antiqua" w:hAnsi="Book Antiqua"/>
          <w:sz w:val="24"/>
          <w:szCs w:val="24"/>
        </w:rPr>
        <w:t xml:space="preserve">Forms filed with the Registrar of Companies (RoC) as prescribed under the Companies Act, 2013. </w:t>
      </w:r>
    </w:p>
    <w:p w:rsidR="00EB1D84" w:rsidRPr="0047735D" w:rsidRDefault="001052EA" w:rsidP="000E0D5E">
      <w:pPr>
        <w:tabs>
          <w:tab w:val="left" w:pos="360"/>
        </w:tabs>
        <w:spacing w:line="240" w:lineRule="auto"/>
        <w:ind w:left="360" w:hanging="360"/>
        <w:jc w:val="both"/>
        <w:rPr>
          <w:rFonts w:ascii="Book Antiqua" w:hAnsi="Book Antiqua"/>
          <w:sz w:val="24"/>
          <w:szCs w:val="24"/>
        </w:rPr>
      </w:pPr>
      <w:r w:rsidRPr="0047735D">
        <w:rPr>
          <w:rFonts w:ascii="Book Antiqua" w:hAnsi="Book Antiqua"/>
          <w:b/>
          <w:bCs/>
          <w:sz w:val="24"/>
          <w:szCs w:val="24"/>
        </w:rPr>
        <w:t>B.</w:t>
      </w:r>
      <w:r w:rsidRPr="0047735D">
        <w:rPr>
          <w:rFonts w:ascii="Book Antiqua" w:hAnsi="Book Antiqua"/>
          <w:sz w:val="24"/>
          <w:szCs w:val="24"/>
        </w:rPr>
        <w:t xml:space="preserve"> </w:t>
      </w:r>
      <w:r w:rsidRPr="0047735D">
        <w:rPr>
          <w:rFonts w:ascii="Book Antiqua" w:hAnsi="Book Antiqua"/>
          <w:b/>
          <w:bCs/>
          <w:sz w:val="24"/>
          <w:szCs w:val="24"/>
          <w:u w:val="single"/>
        </w:rPr>
        <w:t>DOCUMENTS WHICH SHALL BE PRESERVED FOR A PERIOD OF NOT LESS THAN EIGHT YEARS AFTER COMPLETION OF RELEVANT TRANSACTION</w:t>
      </w:r>
      <w:r w:rsidRPr="0047735D">
        <w:rPr>
          <w:rFonts w:ascii="Book Antiqua" w:hAnsi="Book Antiqua"/>
          <w:sz w:val="24"/>
          <w:szCs w:val="24"/>
        </w:rPr>
        <w:t xml:space="preserve"> </w:t>
      </w:r>
    </w:p>
    <w:p w:rsidR="000E0D5E" w:rsidRPr="0047735D" w:rsidRDefault="001052EA" w:rsidP="00EB1D84">
      <w:pPr>
        <w:pStyle w:val="ListParagraph"/>
        <w:numPr>
          <w:ilvl w:val="0"/>
          <w:numId w:val="29"/>
        </w:numPr>
        <w:spacing w:line="240" w:lineRule="auto"/>
        <w:jc w:val="both"/>
        <w:rPr>
          <w:rFonts w:ascii="Book Antiqua" w:hAnsi="Book Antiqua"/>
          <w:sz w:val="24"/>
          <w:szCs w:val="24"/>
        </w:rPr>
      </w:pPr>
      <w:r w:rsidRPr="0047735D">
        <w:rPr>
          <w:rFonts w:ascii="Book Antiqua" w:hAnsi="Book Antiqua"/>
          <w:sz w:val="24"/>
          <w:szCs w:val="24"/>
        </w:rPr>
        <w:t>Financial Statements of the Company and b</w:t>
      </w:r>
      <w:r w:rsidR="000E0D5E" w:rsidRPr="0047735D">
        <w:rPr>
          <w:rFonts w:ascii="Book Antiqua" w:hAnsi="Book Antiqua"/>
          <w:sz w:val="24"/>
          <w:szCs w:val="24"/>
        </w:rPr>
        <w:t>ooks of accounts of the Company;</w:t>
      </w:r>
      <w:r w:rsidRPr="0047735D">
        <w:rPr>
          <w:rFonts w:ascii="Book Antiqua" w:hAnsi="Book Antiqua"/>
          <w:sz w:val="24"/>
          <w:szCs w:val="24"/>
        </w:rPr>
        <w:t xml:space="preserve"> </w:t>
      </w:r>
    </w:p>
    <w:p w:rsidR="000E0D5E" w:rsidRPr="0047735D" w:rsidRDefault="000E0D5E" w:rsidP="000E0D5E">
      <w:pPr>
        <w:pStyle w:val="ListParagraph"/>
        <w:spacing w:line="240" w:lineRule="auto"/>
        <w:ind w:left="780"/>
        <w:jc w:val="both"/>
        <w:rPr>
          <w:rFonts w:ascii="Book Antiqua" w:hAnsi="Book Antiqua"/>
          <w:sz w:val="10"/>
          <w:szCs w:val="10"/>
        </w:rPr>
      </w:pPr>
    </w:p>
    <w:p w:rsidR="000E0D5E" w:rsidRPr="0047735D" w:rsidRDefault="001052EA" w:rsidP="00EB1D84">
      <w:pPr>
        <w:pStyle w:val="ListParagraph"/>
        <w:numPr>
          <w:ilvl w:val="0"/>
          <w:numId w:val="29"/>
        </w:numPr>
        <w:spacing w:line="240" w:lineRule="auto"/>
        <w:jc w:val="both"/>
        <w:rPr>
          <w:rFonts w:ascii="Book Antiqua" w:hAnsi="Book Antiqua"/>
          <w:sz w:val="24"/>
          <w:szCs w:val="24"/>
        </w:rPr>
      </w:pPr>
      <w:r w:rsidRPr="0047735D">
        <w:rPr>
          <w:rFonts w:ascii="Book Antiqua" w:hAnsi="Book Antiqua"/>
          <w:sz w:val="24"/>
          <w:szCs w:val="24"/>
        </w:rPr>
        <w:t>All bills, invoices, and vouchers relevant to any e</w:t>
      </w:r>
      <w:r w:rsidR="000E0D5E" w:rsidRPr="0047735D">
        <w:rPr>
          <w:rFonts w:ascii="Book Antiqua" w:hAnsi="Book Antiqua"/>
          <w:sz w:val="24"/>
          <w:szCs w:val="24"/>
        </w:rPr>
        <w:t>ntry in such books of accounts;</w:t>
      </w:r>
      <w:r w:rsidRPr="0047735D">
        <w:rPr>
          <w:rFonts w:ascii="Book Antiqua" w:hAnsi="Book Antiqua"/>
          <w:sz w:val="24"/>
          <w:szCs w:val="24"/>
        </w:rPr>
        <w:t xml:space="preserve"> </w:t>
      </w:r>
    </w:p>
    <w:p w:rsidR="000E0D5E" w:rsidRPr="0047735D" w:rsidRDefault="000E0D5E" w:rsidP="000E0D5E">
      <w:pPr>
        <w:pStyle w:val="ListParagraph"/>
        <w:rPr>
          <w:rFonts w:ascii="Book Antiqua" w:hAnsi="Book Antiqua"/>
          <w:sz w:val="10"/>
          <w:szCs w:val="10"/>
        </w:rPr>
      </w:pPr>
    </w:p>
    <w:p w:rsidR="00EB1D84" w:rsidRPr="0047735D" w:rsidRDefault="001052EA" w:rsidP="00EB1D84">
      <w:pPr>
        <w:pStyle w:val="ListParagraph"/>
        <w:numPr>
          <w:ilvl w:val="0"/>
          <w:numId w:val="29"/>
        </w:numPr>
        <w:spacing w:line="240" w:lineRule="auto"/>
        <w:jc w:val="both"/>
        <w:rPr>
          <w:rFonts w:ascii="Book Antiqua" w:hAnsi="Book Antiqua"/>
          <w:sz w:val="24"/>
          <w:szCs w:val="24"/>
        </w:rPr>
      </w:pPr>
      <w:r w:rsidRPr="0047735D">
        <w:rPr>
          <w:rFonts w:ascii="Book Antiqua" w:hAnsi="Book Antiqua"/>
          <w:sz w:val="24"/>
          <w:szCs w:val="24"/>
        </w:rPr>
        <w:t xml:space="preserve">All ballot papers received during the course of poll conducted in General Meetings. </w:t>
      </w:r>
    </w:p>
    <w:p w:rsidR="000F66A2" w:rsidRPr="0047735D" w:rsidRDefault="001052EA" w:rsidP="00EB1D84">
      <w:pPr>
        <w:spacing w:line="240" w:lineRule="auto"/>
        <w:jc w:val="center"/>
        <w:rPr>
          <w:rFonts w:ascii="Book Antiqua" w:hAnsi="Book Antiqua"/>
          <w:b/>
          <w:bCs/>
          <w:sz w:val="24"/>
          <w:szCs w:val="24"/>
        </w:rPr>
      </w:pPr>
      <w:r w:rsidRPr="0047735D">
        <w:rPr>
          <w:rFonts w:ascii="Book Antiqua" w:hAnsi="Book Antiqua"/>
          <w:sz w:val="24"/>
          <w:szCs w:val="24"/>
        </w:rPr>
        <w:t>*****</w:t>
      </w:r>
    </w:p>
    <w:sectPr w:rsidR="000F66A2" w:rsidRPr="0047735D" w:rsidSect="006518DE">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856" w:rsidRDefault="00E17856" w:rsidP="006518DE">
      <w:pPr>
        <w:spacing w:after="0" w:line="240" w:lineRule="auto"/>
      </w:pPr>
      <w:r>
        <w:separator/>
      </w:r>
    </w:p>
  </w:endnote>
  <w:endnote w:type="continuationSeparator" w:id="1">
    <w:p w:rsidR="00E17856" w:rsidRDefault="00E17856" w:rsidP="00651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7455"/>
      <w:docPartObj>
        <w:docPartGallery w:val="Page Numbers (Bottom of Page)"/>
        <w:docPartUnique/>
      </w:docPartObj>
    </w:sdtPr>
    <w:sdtContent>
      <w:p w:rsidR="00EA26EB" w:rsidRDefault="005D7410">
        <w:pPr>
          <w:pStyle w:val="Footer"/>
          <w:jc w:val="right"/>
        </w:pPr>
        <w:fldSimple w:instr=" PAGE   \* MERGEFORMAT ">
          <w:r w:rsidR="00A74270">
            <w:rPr>
              <w:noProof/>
            </w:rPr>
            <w:t>2</w:t>
          </w:r>
        </w:fldSimple>
      </w:p>
    </w:sdtContent>
  </w:sdt>
  <w:p w:rsidR="00EA26EB" w:rsidRDefault="00EA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56" w:rsidRDefault="00E17856" w:rsidP="006518DE">
      <w:pPr>
        <w:spacing w:after="0" w:line="240" w:lineRule="auto"/>
      </w:pPr>
      <w:r>
        <w:separator/>
      </w:r>
    </w:p>
  </w:footnote>
  <w:footnote w:type="continuationSeparator" w:id="1">
    <w:p w:rsidR="00E17856" w:rsidRDefault="00E17856" w:rsidP="00651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053"/>
    <w:multiLevelType w:val="hybridMultilevel"/>
    <w:tmpl w:val="D650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51217"/>
    <w:multiLevelType w:val="hybridMultilevel"/>
    <w:tmpl w:val="6456D696"/>
    <w:lvl w:ilvl="0" w:tplc="297CE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71793"/>
    <w:multiLevelType w:val="hybridMultilevel"/>
    <w:tmpl w:val="623E55FC"/>
    <w:lvl w:ilvl="0" w:tplc="3092A916">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9176D3B6">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35DD4"/>
    <w:multiLevelType w:val="hybridMultilevel"/>
    <w:tmpl w:val="C1020F10"/>
    <w:lvl w:ilvl="0" w:tplc="351CC64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068E6"/>
    <w:multiLevelType w:val="hybridMultilevel"/>
    <w:tmpl w:val="ECE2613E"/>
    <w:lvl w:ilvl="0" w:tplc="31A851DE">
      <w:start w:val="1"/>
      <w:numFmt w:val="lowerLetter"/>
      <w:lvlText w:val="(%1)"/>
      <w:lvlJc w:val="left"/>
      <w:pPr>
        <w:ind w:left="1440" w:hanging="360"/>
      </w:pPr>
      <w:rPr>
        <w:rFonts w:hint="default"/>
      </w:rPr>
    </w:lvl>
    <w:lvl w:ilvl="1" w:tplc="810C3104">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B52231"/>
    <w:multiLevelType w:val="hybridMultilevel"/>
    <w:tmpl w:val="FA80B29C"/>
    <w:lvl w:ilvl="0" w:tplc="03423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04CEF"/>
    <w:multiLevelType w:val="hybridMultilevel"/>
    <w:tmpl w:val="78109272"/>
    <w:lvl w:ilvl="0" w:tplc="2A54201C">
      <w:start w:val="1"/>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F2E07"/>
    <w:multiLevelType w:val="hybridMultilevel"/>
    <w:tmpl w:val="7C5AF786"/>
    <w:lvl w:ilvl="0" w:tplc="351CC642">
      <w:start w:val="1"/>
      <w:numFmt w:val="lowerLetter"/>
      <w:lvlText w:val="(%1)"/>
      <w:lvlJc w:val="left"/>
      <w:pPr>
        <w:ind w:left="735" w:hanging="375"/>
      </w:pPr>
      <w:rPr>
        <w:rFonts w:hint="default"/>
      </w:rPr>
    </w:lvl>
    <w:lvl w:ilvl="1" w:tplc="950442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14C63"/>
    <w:multiLevelType w:val="hybridMultilevel"/>
    <w:tmpl w:val="AF8E7D5E"/>
    <w:lvl w:ilvl="0" w:tplc="2CE83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452E2"/>
    <w:multiLevelType w:val="hybridMultilevel"/>
    <w:tmpl w:val="B81E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D6A11"/>
    <w:multiLevelType w:val="hybridMultilevel"/>
    <w:tmpl w:val="54BAC57A"/>
    <w:lvl w:ilvl="0" w:tplc="DECA93AE">
      <w:start w:val="1"/>
      <w:numFmt w:val="lowerLetter"/>
      <w:lvlText w:val="(%1)"/>
      <w:lvlJc w:val="left"/>
      <w:pPr>
        <w:ind w:left="780" w:hanging="420"/>
      </w:pPr>
      <w:rPr>
        <w:rFonts w:hint="default"/>
      </w:rPr>
    </w:lvl>
    <w:lvl w:ilvl="1" w:tplc="5CC45E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D65A6"/>
    <w:multiLevelType w:val="hybridMultilevel"/>
    <w:tmpl w:val="962A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E08CB"/>
    <w:multiLevelType w:val="hybridMultilevel"/>
    <w:tmpl w:val="22F8F94E"/>
    <w:lvl w:ilvl="0" w:tplc="9176D3B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C0980"/>
    <w:multiLevelType w:val="hybridMultilevel"/>
    <w:tmpl w:val="3B84A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F01C8"/>
    <w:multiLevelType w:val="hybridMultilevel"/>
    <w:tmpl w:val="15804FFA"/>
    <w:lvl w:ilvl="0" w:tplc="72E8B6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D582F"/>
    <w:multiLevelType w:val="hybridMultilevel"/>
    <w:tmpl w:val="B4FE0D52"/>
    <w:lvl w:ilvl="0" w:tplc="9176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433DB"/>
    <w:multiLevelType w:val="hybridMultilevel"/>
    <w:tmpl w:val="4BC2D122"/>
    <w:lvl w:ilvl="0" w:tplc="DECA93A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30A7A"/>
    <w:multiLevelType w:val="hybridMultilevel"/>
    <w:tmpl w:val="78245F6E"/>
    <w:lvl w:ilvl="0" w:tplc="9176D3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ED01DB"/>
    <w:multiLevelType w:val="hybridMultilevel"/>
    <w:tmpl w:val="BA5E5400"/>
    <w:lvl w:ilvl="0" w:tplc="297CE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42050"/>
    <w:multiLevelType w:val="hybridMultilevel"/>
    <w:tmpl w:val="DF7AE6EA"/>
    <w:lvl w:ilvl="0" w:tplc="90B03750">
      <w:start w:val="1"/>
      <w:numFmt w:val="lowerRoman"/>
      <w:lvlText w:val="(%1)"/>
      <w:lvlJc w:val="left"/>
      <w:pPr>
        <w:ind w:left="2160" w:hanging="720"/>
      </w:pPr>
      <w:rPr>
        <w:rFonts w:hint="default"/>
      </w:rPr>
    </w:lvl>
    <w:lvl w:ilvl="1" w:tplc="5C4C5608">
      <w:start w:val="6"/>
      <w:numFmt w:val="bullet"/>
      <w:lvlText w:val="•"/>
      <w:lvlJc w:val="left"/>
      <w:pPr>
        <w:ind w:left="2520" w:hanging="360"/>
      </w:pPr>
      <w:rPr>
        <w:rFonts w:ascii="Book Antiqua" w:eastAsiaTheme="minorEastAsia" w:hAnsi="Book Antiqua" w:cs="Arial" w:hint="default"/>
      </w:rPr>
    </w:lvl>
    <w:lvl w:ilvl="2" w:tplc="3FAC30F6">
      <w:start w:val="1"/>
      <w:numFmt w:val="lowerLetter"/>
      <w:lvlText w:val="(%3)"/>
      <w:lvlJc w:val="left"/>
      <w:pPr>
        <w:ind w:left="3450" w:hanging="39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EC4E94"/>
    <w:multiLevelType w:val="hybridMultilevel"/>
    <w:tmpl w:val="C9B843F2"/>
    <w:lvl w:ilvl="0" w:tplc="382A316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62C64"/>
    <w:multiLevelType w:val="hybridMultilevel"/>
    <w:tmpl w:val="C726970C"/>
    <w:lvl w:ilvl="0" w:tplc="FC9A5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D6660"/>
    <w:multiLevelType w:val="hybridMultilevel"/>
    <w:tmpl w:val="57F6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C4F29"/>
    <w:multiLevelType w:val="hybridMultilevel"/>
    <w:tmpl w:val="CBBCA750"/>
    <w:lvl w:ilvl="0" w:tplc="1908A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01B60"/>
    <w:multiLevelType w:val="hybridMultilevel"/>
    <w:tmpl w:val="0D827AAC"/>
    <w:lvl w:ilvl="0" w:tplc="2A54201C">
      <w:start w:val="1"/>
      <w:numFmt w:val="lowerRoman"/>
      <w:lvlText w:val="%1."/>
      <w:lvlJc w:val="left"/>
      <w:pPr>
        <w:ind w:left="3600" w:hanging="720"/>
      </w:pPr>
      <w:rPr>
        <w:rFonts w:hint="default"/>
      </w:rPr>
    </w:lvl>
    <w:lvl w:ilvl="1" w:tplc="96EE9E18">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A716CF5"/>
    <w:multiLevelType w:val="hybridMultilevel"/>
    <w:tmpl w:val="D280EF4C"/>
    <w:lvl w:ilvl="0" w:tplc="72E8B6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769C3"/>
    <w:multiLevelType w:val="hybridMultilevel"/>
    <w:tmpl w:val="5DAAAC7E"/>
    <w:lvl w:ilvl="0" w:tplc="2A54201C">
      <w:start w:val="1"/>
      <w:numFmt w:val="lowerRoman"/>
      <w:lvlText w:val="%1."/>
      <w:lvlJc w:val="left"/>
      <w:pPr>
        <w:ind w:left="36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4373F"/>
    <w:multiLevelType w:val="hybridMultilevel"/>
    <w:tmpl w:val="C10C7CB6"/>
    <w:lvl w:ilvl="0" w:tplc="7A98C08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7114D"/>
    <w:multiLevelType w:val="hybridMultilevel"/>
    <w:tmpl w:val="EA6EFB0C"/>
    <w:lvl w:ilvl="0" w:tplc="28EA1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23"/>
  </w:num>
  <w:num w:numId="5">
    <w:abstractNumId w:val="4"/>
  </w:num>
  <w:num w:numId="6">
    <w:abstractNumId w:val="19"/>
  </w:num>
  <w:num w:numId="7">
    <w:abstractNumId w:val="24"/>
  </w:num>
  <w:num w:numId="8">
    <w:abstractNumId w:val="6"/>
  </w:num>
  <w:num w:numId="9">
    <w:abstractNumId w:val="26"/>
  </w:num>
  <w:num w:numId="10">
    <w:abstractNumId w:val="0"/>
  </w:num>
  <w:num w:numId="11">
    <w:abstractNumId w:val="22"/>
  </w:num>
  <w:num w:numId="12">
    <w:abstractNumId w:val="9"/>
  </w:num>
  <w:num w:numId="13">
    <w:abstractNumId w:val="8"/>
  </w:num>
  <w:num w:numId="14">
    <w:abstractNumId w:val="28"/>
  </w:num>
  <w:num w:numId="15">
    <w:abstractNumId w:val="10"/>
  </w:num>
  <w:num w:numId="16">
    <w:abstractNumId w:val="11"/>
  </w:num>
  <w:num w:numId="17">
    <w:abstractNumId w:val="16"/>
  </w:num>
  <w:num w:numId="18">
    <w:abstractNumId w:val="21"/>
  </w:num>
  <w:num w:numId="19">
    <w:abstractNumId w:val="27"/>
  </w:num>
  <w:num w:numId="20">
    <w:abstractNumId w:val="7"/>
  </w:num>
  <w:num w:numId="21">
    <w:abstractNumId w:val="2"/>
  </w:num>
  <w:num w:numId="22">
    <w:abstractNumId w:val="15"/>
  </w:num>
  <w:num w:numId="23">
    <w:abstractNumId w:val="3"/>
  </w:num>
  <w:num w:numId="24">
    <w:abstractNumId w:val="13"/>
  </w:num>
  <w:num w:numId="25">
    <w:abstractNumId w:val="18"/>
  </w:num>
  <w:num w:numId="26">
    <w:abstractNumId w:val="1"/>
  </w:num>
  <w:num w:numId="27">
    <w:abstractNumId w:val="25"/>
  </w:num>
  <w:num w:numId="28">
    <w:abstractNumId w:val="1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6518DE"/>
    <w:rsid w:val="000209BC"/>
    <w:rsid w:val="0003380B"/>
    <w:rsid w:val="000540F6"/>
    <w:rsid w:val="00086780"/>
    <w:rsid w:val="000B61BC"/>
    <w:rsid w:val="000B7A2F"/>
    <w:rsid w:val="000C38DB"/>
    <w:rsid w:val="000D0411"/>
    <w:rsid w:val="000E0D5E"/>
    <w:rsid w:val="000F66A2"/>
    <w:rsid w:val="001011DB"/>
    <w:rsid w:val="001052EA"/>
    <w:rsid w:val="00106C0A"/>
    <w:rsid w:val="00114C6D"/>
    <w:rsid w:val="00130BD5"/>
    <w:rsid w:val="00136695"/>
    <w:rsid w:val="00150C6C"/>
    <w:rsid w:val="001534D4"/>
    <w:rsid w:val="00184FAD"/>
    <w:rsid w:val="00192772"/>
    <w:rsid w:val="00193093"/>
    <w:rsid w:val="001B360A"/>
    <w:rsid w:val="001C60CE"/>
    <w:rsid w:val="001E3464"/>
    <w:rsid w:val="002270AF"/>
    <w:rsid w:val="002354B8"/>
    <w:rsid w:val="00236343"/>
    <w:rsid w:val="00255998"/>
    <w:rsid w:val="00270072"/>
    <w:rsid w:val="00296780"/>
    <w:rsid w:val="002F0E9E"/>
    <w:rsid w:val="00371AC1"/>
    <w:rsid w:val="00384700"/>
    <w:rsid w:val="003C7B51"/>
    <w:rsid w:val="003E022E"/>
    <w:rsid w:val="00405A69"/>
    <w:rsid w:val="00406D11"/>
    <w:rsid w:val="004428C6"/>
    <w:rsid w:val="0047735D"/>
    <w:rsid w:val="00485949"/>
    <w:rsid w:val="00495C48"/>
    <w:rsid w:val="004A0367"/>
    <w:rsid w:val="004A1125"/>
    <w:rsid w:val="00526CA8"/>
    <w:rsid w:val="0053370B"/>
    <w:rsid w:val="00570300"/>
    <w:rsid w:val="00582182"/>
    <w:rsid w:val="00591C69"/>
    <w:rsid w:val="0059744D"/>
    <w:rsid w:val="005D7410"/>
    <w:rsid w:val="005D76DE"/>
    <w:rsid w:val="005E332D"/>
    <w:rsid w:val="0060234F"/>
    <w:rsid w:val="006030FD"/>
    <w:rsid w:val="00613398"/>
    <w:rsid w:val="00623BEA"/>
    <w:rsid w:val="0063005D"/>
    <w:rsid w:val="006359C5"/>
    <w:rsid w:val="006518DE"/>
    <w:rsid w:val="00682E65"/>
    <w:rsid w:val="006902C7"/>
    <w:rsid w:val="006D7D84"/>
    <w:rsid w:val="00710AB5"/>
    <w:rsid w:val="00714D92"/>
    <w:rsid w:val="00733B64"/>
    <w:rsid w:val="0073550A"/>
    <w:rsid w:val="007508E2"/>
    <w:rsid w:val="0076343D"/>
    <w:rsid w:val="00776BCD"/>
    <w:rsid w:val="00776D0C"/>
    <w:rsid w:val="007930E2"/>
    <w:rsid w:val="007A23F2"/>
    <w:rsid w:val="007C63E4"/>
    <w:rsid w:val="008326A1"/>
    <w:rsid w:val="008550B5"/>
    <w:rsid w:val="0088372B"/>
    <w:rsid w:val="0089352A"/>
    <w:rsid w:val="00895DF4"/>
    <w:rsid w:val="0090209C"/>
    <w:rsid w:val="00902690"/>
    <w:rsid w:val="0095738C"/>
    <w:rsid w:val="00963B7B"/>
    <w:rsid w:val="009661F5"/>
    <w:rsid w:val="00977073"/>
    <w:rsid w:val="00991C46"/>
    <w:rsid w:val="009A377B"/>
    <w:rsid w:val="00A3073D"/>
    <w:rsid w:val="00A74270"/>
    <w:rsid w:val="00AA1544"/>
    <w:rsid w:val="00AF4091"/>
    <w:rsid w:val="00B200D1"/>
    <w:rsid w:val="00B42025"/>
    <w:rsid w:val="00B50303"/>
    <w:rsid w:val="00B5660A"/>
    <w:rsid w:val="00BB68D3"/>
    <w:rsid w:val="00BC147D"/>
    <w:rsid w:val="00BD274D"/>
    <w:rsid w:val="00BD49A9"/>
    <w:rsid w:val="00BD5795"/>
    <w:rsid w:val="00C11AFA"/>
    <w:rsid w:val="00C35F42"/>
    <w:rsid w:val="00C94C3F"/>
    <w:rsid w:val="00CB09A6"/>
    <w:rsid w:val="00CC2DA8"/>
    <w:rsid w:val="00CE359C"/>
    <w:rsid w:val="00CE5611"/>
    <w:rsid w:val="00D03A2F"/>
    <w:rsid w:val="00D06F0F"/>
    <w:rsid w:val="00D07738"/>
    <w:rsid w:val="00D37E46"/>
    <w:rsid w:val="00D42ACE"/>
    <w:rsid w:val="00E17856"/>
    <w:rsid w:val="00E50A3E"/>
    <w:rsid w:val="00E53272"/>
    <w:rsid w:val="00E84BFD"/>
    <w:rsid w:val="00EA26EB"/>
    <w:rsid w:val="00EB1D84"/>
    <w:rsid w:val="00EB7F5B"/>
    <w:rsid w:val="00EF7931"/>
    <w:rsid w:val="00F03100"/>
    <w:rsid w:val="00F046A7"/>
    <w:rsid w:val="00F532AD"/>
    <w:rsid w:val="00F5721B"/>
    <w:rsid w:val="00F65204"/>
    <w:rsid w:val="00F83780"/>
    <w:rsid w:val="00F8440F"/>
    <w:rsid w:val="00F909F0"/>
    <w:rsid w:val="00F9608C"/>
    <w:rsid w:val="00FA7E8A"/>
    <w:rsid w:val="00FC77B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8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8DE"/>
  </w:style>
  <w:style w:type="paragraph" w:styleId="Footer">
    <w:name w:val="footer"/>
    <w:basedOn w:val="Normal"/>
    <w:link w:val="FooterChar"/>
    <w:uiPriority w:val="99"/>
    <w:unhideWhenUsed/>
    <w:rsid w:val="0065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DE"/>
  </w:style>
  <w:style w:type="table" w:styleId="TableGrid">
    <w:name w:val="Table Grid"/>
    <w:basedOn w:val="TableNormal"/>
    <w:uiPriority w:val="59"/>
    <w:rsid w:val="00B20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B200D1"/>
    <w:rPr>
      <w:color w:val="0000FF"/>
      <w:u w:val="single"/>
    </w:rPr>
  </w:style>
  <w:style w:type="paragraph" w:styleId="Title">
    <w:name w:val="Title"/>
    <w:basedOn w:val="Normal"/>
    <w:link w:val="TitleChar"/>
    <w:qFormat/>
    <w:rsid w:val="00B200D1"/>
    <w:pPr>
      <w:spacing w:after="0" w:line="240" w:lineRule="auto"/>
      <w:jc w:val="center"/>
    </w:pPr>
    <w:rPr>
      <w:rFonts w:ascii="Verdana" w:eastAsia="Times New Roman" w:hAnsi="Verdana" w:cs="Arial"/>
      <w:b/>
      <w:bCs/>
      <w:sz w:val="20"/>
      <w:szCs w:val="24"/>
      <w:lang w:bidi="ar-SA"/>
    </w:rPr>
  </w:style>
  <w:style w:type="character" w:customStyle="1" w:styleId="TitleChar">
    <w:name w:val="Title Char"/>
    <w:basedOn w:val="DefaultParagraphFont"/>
    <w:link w:val="Title"/>
    <w:rsid w:val="00B200D1"/>
    <w:rPr>
      <w:rFonts w:ascii="Verdana" w:eastAsia="Times New Roman" w:hAnsi="Verdana" w:cs="Arial"/>
      <w:b/>
      <w:bCs/>
      <w:sz w:val="20"/>
      <w:szCs w:val="24"/>
      <w:lang w:bidi="ar-SA"/>
    </w:rPr>
  </w:style>
  <w:style w:type="paragraph" w:styleId="BalloonText">
    <w:name w:val="Balloon Text"/>
    <w:basedOn w:val="Normal"/>
    <w:link w:val="BalloonTextChar"/>
    <w:uiPriority w:val="99"/>
    <w:semiHidden/>
    <w:unhideWhenUsed/>
    <w:rsid w:val="006359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59C5"/>
    <w:rPr>
      <w:rFonts w:ascii="Tahoma" w:hAnsi="Tahoma" w:cs="Mangal"/>
      <w:sz w:val="16"/>
      <w:szCs w:val="14"/>
    </w:rPr>
  </w:style>
  <w:style w:type="paragraph" w:customStyle="1" w:styleId="Default">
    <w:name w:val="Default"/>
    <w:rsid w:val="00D06F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7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A973-1D6B-4C49-B574-2EFB1422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dc:creator>
  <cp:lastModifiedBy>Admin</cp:lastModifiedBy>
  <cp:revision>2</cp:revision>
  <dcterms:created xsi:type="dcterms:W3CDTF">2017-02-18T10:17:00Z</dcterms:created>
  <dcterms:modified xsi:type="dcterms:W3CDTF">2017-02-18T10:17:00Z</dcterms:modified>
</cp:coreProperties>
</file>